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1.xml" ContentType="application/vnd.openxmlformats-officedocument.themeOverride+xml"/>
  <Override PartName="/word/charts/chart6.xml" ContentType="application/vnd.openxmlformats-officedocument.drawingml.chart+xml"/>
  <Override PartName="/word/theme/themeOverride2.xml" ContentType="application/vnd.openxmlformats-officedocument.themeOverride+xml"/>
  <Override PartName="/word/charts/chart7.xml" ContentType="application/vnd.openxmlformats-officedocument.drawingml.chart+xml"/>
  <Override PartName="/word/theme/themeOverride3.xml" ContentType="application/vnd.openxmlformats-officedocument.themeOverride+xml"/>
  <Override PartName="/word/charts/chart8.xml" ContentType="application/vnd.openxmlformats-officedocument.drawingml.chart+xml"/>
  <Override PartName="/word/theme/themeOverride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6E87" w:rsidRDefault="00C36E87" w:rsidP="00C36E87">
      <w:pPr>
        <w:pBdr>
          <w:bottom w:val="single" w:sz="4" w:space="1" w:color="auto"/>
        </w:pBdr>
        <w:spacing w:line="360" w:lineRule="auto"/>
      </w:pPr>
      <w:r w:rsidRPr="0041031B">
        <w:rPr>
          <w:b/>
          <w:noProof/>
          <w:sz w:val="36"/>
          <w:szCs w:val="36"/>
          <w:lang w:eastAsia="pl-PL"/>
        </w:rPr>
        <w:drawing>
          <wp:anchor distT="0" distB="0" distL="114300" distR="114300" simplePos="0" relativeHeight="251659264" behindDoc="1" locked="0" layoutInCell="1" allowOverlap="1" wp14:anchorId="3DFE5F0E" wp14:editId="62917027">
            <wp:simplePos x="0" y="0"/>
            <wp:positionH relativeFrom="column">
              <wp:posOffset>-386080</wp:posOffset>
            </wp:positionH>
            <wp:positionV relativeFrom="paragraph">
              <wp:posOffset>-372745</wp:posOffset>
            </wp:positionV>
            <wp:extent cx="2152015" cy="439420"/>
            <wp:effectExtent l="0" t="0" r="63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015" cy="43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36E87" w:rsidRPr="007743FC" w:rsidRDefault="00F653D5" w:rsidP="000149B7">
      <w:pPr>
        <w:pBdr>
          <w:bottom w:val="single" w:sz="4" w:space="1" w:color="auto"/>
        </w:pBdr>
        <w:spacing w:after="0" w:line="240" w:lineRule="auto"/>
        <w:jc w:val="center"/>
        <w:rPr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Struktura osób bezrobotnych</w:t>
      </w:r>
      <w:r w:rsidR="00920ED0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bookmarkStart w:id="0" w:name="_GoBack"/>
      <w:bookmarkEnd w:id="0"/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– </w:t>
      </w:r>
      <w:r w:rsidR="00920ED0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31 XII </w:t>
      </w:r>
      <w:r w:rsidR="007743FC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‘</w:t>
      </w:r>
      <w:r w:rsidR="00C36E87" w:rsidRPr="007743FC">
        <w:rPr>
          <w:b/>
          <w:caps/>
          <w:sz w:val="44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16 r.</w:t>
      </w:r>
    </w:p>
    <w:p w:rsidR="00721983" w:rsidRDefault="00721983" w:rsidP="00721983">
      <w:pPr>
        <w:pBdr>
          <w:bottom w:val="single" w:sz="4" w:space="1" w:color="auto"/>
        </w:pBdr>
        <w:spacing w:after="0" w:line="240" w:lineRule="auto"/>
        <w:jc w:val="both"/>
        <w:rPr>
          <w:rFonts w:ascii="Times New Roman" w:hAnsi="Times New Roman" w:cs="Times New Roman"/>
          <w:sz w:val="18"/>
          <w:szCs w:val="18"/>
        </w:rPr>
      </w:pPr>
    </w:p>
    <w:p w:rsidR="00C36E87" w:rsidRPr="007743FC" w:rsidRDefault="00FF4B3E" w:rsidP="008F6209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0149B7">
        <w:rPr>
          <w:rFonts w:ascii="Verdana" w:hAnsi="Verdana" w:cs="Times New Roman"/>
          <w:sz w:val="28"/>
          <w:szCs w:val="28"/>
        </w:rPr>
        <w:t>truktura</w:t>
      </w:r>
      <w:r w:rsidR="00C36E87" w:rsidRPr="007743FC">
        <w:rPr>
          <w:rFonts w:ascii="Verdana" w:hAnsi="Verdana" w:cs="Times New Roman"/>
          <w:sz w:val="28"/>
          <w:szCs w:val="28"/>
        </w:rPr>
        <w:t xml:space="preserve"> bezrobotnych w</w:t>
      </w:r>
      <w:r w:rsidR="000149B7">
        <w:rPr>
          <w:rFonts w:ascii="Verdana" w:hAnsi="Verdana" w:cs="Times New Roman"/>
          <w:sz w:val="28"/>
          <w:szCs w:val="28"/>
        </w:rPr>
        <w:t>edług</w:t>
      </w:r>
      <w:r w:rsidR="00C36E87" w:rsidRPr="007743FC">
        <w:rPr>
          <w:rFonts w:ascii="Verdana" w:hAnsi="Verdana" w:cs="Times New Roman"/>
          <w:sz w:val="28"/>
          <w:szCs w:val="28"/>
        </w:rPr>
        <w:t xml:space="preserve"> czasu pozostawania bez pracy</w:t>
      </w:r>
    </w:p>
    <w:p w:rsidR="000233FB" w:rsidRPr="00B051B7" w:rsidRDefault="000233FB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Default="000149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noProof/>
          <w:lang w:eastAsia="pl-PL"/>
        </w:rPr>
        <w:drawing>
          <wp:anchor distT="0" distB="0" distL="114300" distR="114300" simplePos="0" relativeHeight="251672576" behindDoc="1" locked="0" layoutInCell="1" allowOverlap="1" wp14:anchorId="601AC286" wp14:editId="7DA57F85">
            <wp:simplePos x="0" y="0"/>
            <wp:positionH relativeFrom="column">
              <wp:posOffset>224155</wp:posOffset>
            </wp:positionH>
            <wp:positionV relativeFrom="paragraph">
              <wp:posOffset>61595</wp:posOffset>
            </wp:positionV>
            <wp:extent cx="5499100" cy="3473450"/>
            <wp:effectExtent l="0" t="0" r="0" b="0"/>
            <wp:wrapTight wrapText="bothSides">
              <wp:wrapPolygon edited="0">
                <wp:start x="9428" y="2132"/>
                <wp:lineTo x="3891" y="2369"/>
                <wp:lineTo x="3891" y="4265"/>
                <wp:lineTo x="1871" y="4265"/>
                <wp:lineTo x="1871" y="6160"/>
                <wp:lineTo x="823" y="6160"/>
                <wp:lineTo x="823" y="8056"/>
                <wp:lineTo x="374" y="8056"/>
                <wp:lineTo x="299" y="11846"/>
                <wp:lineTo x="524" y="13742"/>
                <wp:lineTo x="1347" y="13742"/>
                <wp:lineTo x="1347" y="15637"/>
                <wp:lineTo x="2993" y="15637"/>
                <wp:lineTo x="2993" y="17533"/>
                <wp:lineTo x="5986" y="17533"/>
                <wp:lineTo x="5986" y="18007"/>
                <wp:lineTo x="7857" y="18244"/>
                <wp:lineTo x="13319" y="18244"/>
                <wp:lineTo x="13394" y="18007"/>
                <wp:lineTo x="15489" y="17533"/>
                <wp:lineTo x="15564" y="17533"/>
                <wp:lineTo x="18782" y="15637"/>
                <wp:lineTo x="18856" y="15637"/>
                <wp:lineTo x="20428" y="13742"/>
                <wp:lineTo x="21026" y="11846"/>
                <wp:lineTo x="21176" y="9951"/>
                <wp:lineTo x="20652" y="8056"/>
                <wp:lineTo x="19904" y="6279"/>
                <wp:lineTo x="19829" y="6160"/>
                <wp:lineTo x="17809" y="4028"/>
                <wp:lineTo x="14142" y="2843"/>
                <wp:lineTo x="12272" y="2132"/>
                <wp:lineTo x="9428" y="2132"/>
              </wp:wrapPolygon>
            </wp:wrapTight>
            <wp:docPr id="2" name="Wykres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21983" w:rsidRPr="00B051B7" w:rsidRDefault="00721983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3E3D2E" w:rsidRPr="00B051B7" w:rsidRDefault="003E3D2E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FC6258" w:rsidRPr="00B051B7" w:rsidRDefault="00FC6258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1B38A8" w:rsidRDefault="001B38A8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721983" w:rsidRDefault="00721983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721983" w:rsidRDefault="00721983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3F16EE" w:rsidRPr="00B051B7" w:rsidRDefault="003F16EE" w:rsidP="00B051B7">
      <w:pPr>
        <w:pBdr>
          <w:bottom w:val="single" w:sz="4" w:space="1" w:color="auto"/>
        </w:pBdr>
        <w:spacing w:after="0" w:line="240" w:lineRule="auto"/>
        <w:rPr>
          <w:rFonts w:ascii="Times New Roman" w:hAnsi="Times New Roman" w:cs="Times New Roman"/>
          <w:b/>
          <w:sz w:val="18"/>
          <w:szCs w:val="18"/>
        </w:rPr>
      </w:pPr>
    </w:p>
    <w:p w:rsidR="00C36E87" w:rsidRPr="008F6209" w:rsidRDefault="00FF4B3E" w:rsidP="008F6209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8F6209">
        <w:rPr>
          <w:rFonts w:ascii="Verdana" w:hAnsi="Verdana" w:cs="Times New Roman"/>
          <w:sz w:val="28"/>
          <w:szCs w:val="28"/>
        </w:rPr>
        <w:t xml:space="preserve">truktura bezrobotnych według </w:t>
      </w:r>
      <w:r w:rsidR="00C36E87" w:rsidRPr="008F6209">
        <w:rPr>
          <w:rFonts w:ascii="Verdana" w:hAnsi="Verdana" w:cs="Times New Roman"/>
          <w:sz w:val="28"/>
          <w:szCs w:val="28"/>
        </w:rPr>
        <w:t>wieku</w:t>
      </w: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1A031A" w:rsidP="00B051B7">
      <w:pPr>
        <w:spacing w:after="0" w:line="240" w:lineRule="auto"/>
        <w:rPr>
          <w:rFonts w:ascii="Times New Roman" w:hAnsi="Times New Roman" w:cs="Times New Roman"/>
        </w:rPr>
      </w:pPr>
      <w:r>
        <w:rPr>
          <w:noProof/>
          <w:lang w:eastAsia="pl-PL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130810</wp:posOffset>
            </wp:positionH>
            <wp:positionV relativeFrom="paragraph">
              <wp:posOffset>0</wp:posOffset>
            </wp:positionV>
            <wp:extent cx="5975985" cy="3335655"/>
            <wp:effectExtent l="0" t="0" r="0" b="0"/>
            <wp:wrapTight wrapText="bothSides">
              <wp:wrapPolygon edited="0">
                <wp:start x="10053" y="1357"/>
                <wp:lineTo x="7987" y="1727"/>
                <wp:lineTo x="3994" y="2961"/>
                <wp:lineTo x="3994" y="3577"/>
                <wp:lineTo x="3305" y="4071"/>
                <wp:lineTo x="1997" y="5428"/>
                <wp:lineTo x="964" y="7525"/>
                <wp:lineTo x="482" y="9375"/>
                <wp:lineTo x="551" y="11472"/>
                <wp:lineTo x="895" y="13446"/>
                <wp:lineTo x="1928" y="15420"/>
                <wp:lineTo x="3718" y="17393"/>
                <wp:lineTo x="3856" y="17764"/>
                <wp:lineTo x="7987" y="19367"/>
                <wp:lineTo x="8814" y="19614"/>
                <wp:lineTo x="12601" y="19614"/>
                <wp:lineTo x="13771" y="19367"/>
                <wp:lineTo x="17696" y="17887"/>
                <wp:lineTo x="17765" y="17393"/>
                <wp:lineTo x="19624" y="15420"/>
                <wp:lineTo x="20794" y="13446"/>
                <wp:lineTo x="21208" y="11472"/>
                <wp:lineTo x="21208" y="9499"/>
                <wp:lineTo x="20657" y="7525"/>
                <wp:lineTo x="19624" y="5428"/>
                <wp:lineTo x="18178" y="3947"/>
                <wp:lineTo x="17696" y="3207"/>
                <wp:lineTo x="14115" y="1727"/>
                <wp:lineTo x="12807" y="1357"/>
                <wp:lineTo x="10053" y="1357"/>
              </wp:wrapPolygon>
            </wp:wrapTight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P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B051B7" w:rsidRDefault="00B051B7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1A031A" w:rsidRPr="00B051B7" w:rsidRDefault="001A031A" w:rsidP="00B051B7">
      <w:pPr>
        <w:spacing w:after="0" w:line="240" w:lineRule="auto"/>
        <w:rPr>
          <w:rFonts w:ascii="Times New Roman" w:hAnsi="Times New Roman" w:cs="Times New Roman"/>
        </w:rPr>
      </w:pPr>
    </w:p>
    <w:p w:rsidR="00C36E87" w:rsidRDefault="00C36E87">
      <w:r>
        <w:br w:type="page"/>
      </w:r>
    </w:p>
    <w:p w:rsidR="00C36E87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lastRenderedPageBreak/>
        <w:t>s</w:t>
      </w:r>
      <w:r w:rsidRPr="00FF4B3E">
        <w:rPr>
          <w:rFonts w:ascii="Verdana" w:hAnsi="Verdana" w:cs="Times New Roman"/>
          <w:sz w:val="28"/>
          <w:szCs w:val="28"/>
        </w:rPr>
        <w:t xml:space="preserve">truktura bezrobotnych </w:t>
      </w:r>
      <w:r w:rsidR="00C36E87" w:rsidRPr="00FF4B3E">
        <w:rPr>
          <w:rFonts w:ascii="Verdana" w:hAnsi="Verdana" w:cs="Times New Roman"/>
          <w:sz w:val="28"/>
          <w:szCs w:val="28"/>
        </w:rPr>
        <w:t>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C36E87" w:rsidRPr="00FF4B3E">
        <w:rPr>
          <w:rFonts w:ascii="Verdana" w:hAnsi="Verdana" w:cs="Times New Roman"/>
          <w:sz w:val="28"/>
          <w:szCs w:val="28"/>
        </w:rPr>
        <w:t xml:space="preserve"> wykształcenia</w:t>
      </w:r>
    </w:p>
    <w:p w:rsidR="00C36E87" w:rsidRPr="00B051B7" w:rsidRDefault="00C36E87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</w:p>
    <w:p w:rsidR="001B38A8" w:rsidRPr="00B051B7" w:rsidRDefault="007C6628" w:rsidP="00B051B7">
      <w:pPr>
        <w:spacing w:after="0" w:line="240" w:lineRule="auto"/>
        <w:rPr>
          <w:rFonts w:ascii="Times New Roman" w:hAnsi="Times New Roman" w:cs="Times New Roman"/>
          <w:sz w:val="18"/>
          <w:szCs w:val="18"/>
        </w:rPr>
      </w:pPr>
      <w:r>
        <w:rPr>
          <w:noProof/>
          <w:lang w:eastAsia="pl-PL"/>
        </w:rPr>
        <w:drawing>
          <wp:inline distT="0" distB="0" distL="0" distR="0" wp14:anchorId="61057F74" wp14:editId="2AF78066">
            <wp:extent cx="5932627" cy="3767328"/>
            <wp:effectExtent l="0" t="0" r="0" b="0"/>
            <wp:docPr id="3" name="Wykres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C36E87" w:rsidRPr="00FF4B3E" w:rsidRDefault="007C6628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s</w:t>
      </w:r>
      <w:r w:rsidR="00FF4B3E">
        <w:rPr>
          <w:rFonts w:ascii="Verdana" w:hAnsi="Verdana" w:cs="Times New Roman"/>
          <w:sz w:val="28"/>
          <w:szCs w:val="28"/>
        </w:rPr>
        <w:t xml:space="preserve">truktura bezrobotnych </w:t>
      </w:r>
      <w:r w:rsidR="00C36E87" w:rsidRPr="00FF4B3E">
        <w:rPr>
          <w:rFonts w:ascii="Verdana" w:hAnsi="Verdana" w:cs="Times New Roman"/>
          <w:sz w:val="28"/>
          <w:szCs w:val="28"/>
        </w:rPr>
        <w:t>w</w:t>
      </w:r>
      <w:r w:rsidR="00FF4B3E">
        <w:rPr>
          <w:rFonts w:ascii="Verdana" w:hAnsi="Verdana" w:cs="Times New Roman"/>
          <w:sz w:val="28"/>
          <w:szCs w:val="28"/>
        </w:rPr>
        <w:t>edług</w:t>
      </w:r>
      <w:r w:rsidR="00C36E87" w:rsidRPr="00FF4B3E">
        <w:rPr>
          <w:rFonts w:ascii="Verdana" w:hAnsi="Verdana" w:cs="Times New Roman"/>
          <w:sz w:val="28"/>
          <w:szCs w:val="28"/>
        </w:rPr>
        <w:t xml:space="preserve"> stażu pracy</w:t>
      </w:r>
    </w:p>
    <w:p w:rsidR="00C36E87" w:rsidRDefault="007C6628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>
        <w:rPr>
          <w:noProof/>
          <w:lang w:eastAsia="pl-PL"/>
        </w:rPr>
        <w:drawing>
          <wp:anchor distT="0" distB="0" distL="114300" distR="114300" simplePos="0" relativeHeight="251674624" behindDoc="1" locked="0" layoutInCell="1" allowOverlap="1" wp14:anchorId="3EC5EFA6" wp14:editId="4A879AB5">
            <wp:simplePos x="0" y="0"/>
            <wp:positionH relativeFrom="column">
              <wp:posOffset>255270</wp:posOffset>
            </wp:positionH>
            <wp:positionV relativeFrom="paragraph">
              <wp:posOffset>99695</wp:posOffset>
            </wp:positionV>
            <wp:extent cx="5822315" cy="4250055"/>
            <wp:effectExtent l="0" t="0" r="0" b="0"/>
            <wp:wrapTight wrapText="bothSides">
              <wp:wrapPolygon edited="0">
                <wp:start x="9541" y="3195"/>
                <wp:lineTo x="3958" y="3389"/>
                <wp:lineTo x="3958" y="4938"/>
                <wp:lineTo x="1908" y="4938"/>
                <wp:lineTo x="1908" y="6487"/>
                <wp:lineTo x="919" y="6487"/>
                <wp:lineTo x="919" y="8036"/>
                <wp:lineTo x="495" y="8036"/>
                <wp:lineTo x="495" y="12683"/>
                <wp:lineTo x="989" y="12683"/>
                <wp:lineTo x="989" y="14232"/>
                <wp:lineTo x="2191" y="14232"/>
                <wp:lineTo x="2191" y="15781"/>
                <wp:lineTo x="4382" y="15781"/>
                <wp:lineTo x="4382" y="17040"/>
                <wp:lineTo x="9470" y="17234"/>
                <wp:lineTo x="12721" y="17234"/>
                <wp:lineTo x="13287" y="17040"/>
                <wp:lineTo x="17244" y="15975"/>
                <wp:lineTo x="20990" y="15588"/>
                <wp:lineTo x="21273" y="14232"/>
                <wp:lineTo x="19435" y="14232"/>
                <wp:lineTo x="20636" y="12780"/>
                <wp:lineTo x="20707" y="12683"/>
                <wp:lineTo x="21202" y="11231"/>
                <wp:lineTo x="21273" y="9585"/>
                <wp:lineTo x="20707" y="8036"/>
                <wp:lineTo x="19788" y="6584"/>
                <wp:lineTo x="19718" y="6487"/>
                <wp:lineTo x="17668" y="4744"/>
                <wp:lineTo x="13357" y="3485"/>
                <wp:lineTo x="12297" y="3195"/>
                <wp:lineTo x="9541" y="3195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D85ABE" w:rsidRDefault="00D85ABE" w:rsidP="00B051B7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72500A" w:rsidRDefault="0072500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2946CA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lastRenderedPageBreak/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Style w:val="Odwoanieprzypisudolnego"/>
          <w:rFonts w:ascii="Verdana" w:hAnsi="Verdana" w:cs="Times New Roman"/>
          <w:sz w:val="28"/>
          <w:szCs w:val="28"/>
        </w:rPr>
        <w:footnoteReference w:id="1"/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czasu</w:t>
      </w:r>
    </w:p>
    <w:p w:rsidR="00FC6258" w:rsidRPr="00FF4B3E" w:rsidRDefault="00FC6258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>pozostawania bez pracy</w:t>
      </w:r>
    </w:p>
    <w:p w:rsidR="00FC6258" w:rsidRDefault="00C15538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1905</wp:posOffset>
            </wp:positionV>
            <wp:extent cx="5617845" cy="3942715"/>
            <wp:effectExtent l="0" t="0" r="0" b="0"/>
            <wp:wrapTight wrapText="bothSides">
              <wp:wrapPolygon edited="0">
                <wp:start x="7764" y="1252"/>
                <wp:lineTo x="3955" y="3131"/>
                <wp:lineTo x="2271" y="3131"/>
                <wp:lineTo x="2124" y="3235"/>
                <wp:lineTo x="2490" y="4801"/>
                <wp:lineTo x="2197" y="4905"/>
                <wp:lineTo x="2344" y="5218"/>
                <wp:lineTo x="3662" y="6471"/>
                <wp:lineTo x="2417" y="6471"/>
                <wp:lineTo x="2271" y="6679"/>
                <wp:lineTo x="2564" y="8140"/>
                <wp:lineTo x="2344" y="8245"/>
                <wp:lineTo x="2417" y="13150"/>
                <wp:lineTo x="2783" y="14820"/>
                <wp:lineTo x="2783" y="16177"/>
                <wp:lineTo x="3296" y="16490"/>
                <wp:lineTo x="5420" y="16490"/>
                <wp:lineTo x="4834" y="17011"/>
                <wp:lineTo x="5347" y="17846"/>
                <wp:lineTo x="10987" y="18159"/>
                <wp:lineTo x="11060" y="19099"/>
                <wp:lineTo x="16480" y="19412"/>
                <wp:lineTo x="16846" y="19412"/>
                <wp:lineTo x="17213" y="19203"/>
                <wp:lineTo x="18018" y="18473"/>
                <wp:lineTo x="18018" y="18159"/>
                <wp:lineTo x="19556" y="14820"/>
                <wp:lineTo x="19849" y="13150"/>
                <wp:lineTo x="20216" y="2192"/>
                <wp:lineTo x="16993" y="1774"/>
                <wp:lineTo x="8863" y="1252"/>
                <wp:lineTo x="7764" y="1252"/>
              </wp:wrapPolygon>
            </wp:wrapTight>
            <wp:docPr id="7" name="Wykres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3F16EE" w:rsidRDefault="003F16EE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</w:pP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wieku</w:t>
      </w:r>
      <w:r w:rsidR="00C15538">
        <w:rPr>
          <w:rFonts w:ascii="Verdana" w:hAnsi="Verdana" w:cs="Times New Roman"/>
          <w:sz w:val="28"/>
          <w:szCs w:val="28"/>
        </w:rPr>
        <w:t>*</w:t>
      </w:r>
    </w:p>
    <w:p w:rsidR="00D95E84" w:rsidRDefault="00C15538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6672" behindDoc="1" locked="0" layoutInCell="1" allowOverlap="1" wp14:anchorId="7429DDD3" wp14:editId="052FD414">
            <wp:simplePos x="0" y="0"/>
            <wp:positionH relativeFrom="column">
              <wp:posOffset>-635</wp:posOffset>
            </wp:positionH>
            <wp:positionV relativeFrom="paragraph">
              <wp:posOffset>92710</wp:posOffset>
            </wp:positionV>
            <wp:extent cx="5786120" cy="3649980"/>
            <wp:effectExtent l="0" t="0" r="0" b="0"/>
            <wp:wrapTight wrapText="bothSides">
              <wp:wrapPolygon edited="0">
                <wp:start x="7965" y="1240"/>
                <wp:lineTo x="7325" y="1691"/>
                <wp:lineTo x="4196" y="3157"/>
                <wp:lineTo x="2631" y="3269"/>
                <wp:lineTo x="2489" y="3382"/>
                <wp:lineTo x="2489" y="6426"/>
                <wp:lineTo x="2845" y="6877"/>
                <wp:lineTo x="3911" y="6877"/>
                <wp:lineTo x="2702" y="7666"/>
                <wp:lineTo x="2702" y="7891"/>
                <wp:lineTo x="3982" y="8681"/>
                <wp:lineTo x="2845" y="8793"/>
                <wp:lineTo x="2631" y="9019"/>
                <wp:lineTo x="2702" y="12063"/>
                <wp:lineTo x="2916" y="12288"/>
                <wp:lineTo x="4125" y="12288"/>
                <wp:lineTo x="2845" y="13077"/>
                <wp:lineTo x="2845" y="13303"/>
                <wp:lineTo x="4125" y="14092"/>
                <wp:lineTo x="2916" y="14317"/>
                <wp:lineTo x="2773" y="14430"/>
                <wp:lineTo x="3058" y="15896"/>
                <wp:lineTo x="3058" y="16459"/>
                <wp:lineTo x="6614" y="17699"/>
                <wp:lineTo x="8178" y="17925"/>
                <wp:lineTo x="14792" y="19503"/>
                <wp:lineTo x="16499" y="19503"/>
                <wp:lineTo x="17139" y="19278"/>
                <wp:lineTo x="18134" y="18263"/>
                <wp:lineTo x="18134" y="17699"/>
                <wp:lineTo x="19486" y="14092"/>
                <wp:lineTo x="19628" y="12288"/>
                <wp:lineTo x="19983" y="2255"/>
                <wp:lineTo x="16925" y="1804"/>
                <wp:lineTo x="9245" y="1240"/>
                <wp:lineTo x="7965" y="1240"/>
              </wp:wrapPolygon>
            </wp:wrapTight>
            <wp:docPr id="6" name="Wykres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FC6258" w:rsidRDefault="00FC6258">
      <w:pPr>
        <w:rPr>
          <w:b/>
        </w:rPr>
      </w:pPr>
      <w:r>
        <w:rPr>
          <w:b/>
        </w:rPr>
        <w:br w:type="page"/>
      </w: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lastRenderedPageBreak/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wykształcenia</w:t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C15538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-3810</wp:posOffset>
            </wp:positionV>
            <wp:extent cx="5690870" cy="3723005"/>
            <wp:effectExtent l="0" t="0" r="0" b="0"/>
            <wp:wrapTight wrapText="bothSides">
              <wp:wrapPolygon edited="0">
                <wp:start x="5712" y="663"/>
                <wp:lineTo x="1880" y="2763"/>
                <wp:lineTo x="2025" y="3095"/>
                <wp:lineTo x="3254" y="4421"/>
                <wp:lineTo x="2025" y="4753"/>
                <wp:lineTo x="2025" y="5195"/>
                <wp:lineTo x="3326" y="6189"/>
                <wp:lineTo x="2025" y="6852"/>
                <wp:lineTo x="2025" y="7074"/>
                <wp:lineTo x="3398" y="7958"/>
                <wp:lineTo x="2097" y="8842"/>
                <wp:lineTo x="2097" y="9063"/>
                <wp:lineTo x="3398" y="9726"/>
                <wp:lineTo x="2169" y="10721"/>
                <wp:lineTo x="2169" y="11163"/>
                <wp:lineTo x="3471" y="11494"/>
                <wp:lineTo x="2241" y="12600"/>
                <wp:lineTo x="2241" y="13042"/>
                <wp:lineTo x="3543" y="13263"/>
                <wp:lineTo x="2531" y="14589"/>
                <wp:lineTo x="2531" y="15031"/>
                <wp:lineTo x="3615" y="15031"/>
                <wp:lineTo x="2458" y="16579"/>
                <wp:lineTo x="2603" y="17021"/>
                <wp:lineTo x="6869" y="18568"/>
                <wp:lineTo x="7158" y="19231"/>
                <wp:lineTo x="14750" y="20336"/>
                <wp:lineTo x="17498" y="20336"/>
                <wp:lineTo x="17570" y="20115"/>
                <wp:lineTo x="18438" y="18568"/>
                <wp:lineTo x="19667" y="15031"/>
                <wp:lineTo x="19884" y="7958"/>
                <wp:lineTo x="20173" y="2100"/>
                <wp:lineTo x="7375" y="663"/>
                <wp:lineTo x="5712" y="663"/>
              </wp:wrapPolygon>
            </wp:wrapTight>
            <wp:docPr id="8" name="Wykres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83038F" w:rsidRDefault="0083038F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FC6258" w:rsidRPr="00FF4B3E" w:rsidRDefault="00FF4B3E" w:rsidP="00FF4B3E">
      <w:pPr>
        <w:pBdr>
          <w:bottom w:val="single" w:sz="4" w:space="1" w:color="auto"/>
        </w:pBdr>
        <w:spacing w:after="0" w:line="240" w:lineRule="auto"/>
        <w:jc w:val="center"/>
        <w:rPr>
          <w:rFonts w:ascii="Verdana" w:hAnsi="Verdana" w:cs="Times New Roman"/>
          <w:sz w:val="28"/>
          <w:szCs w:val="28"/>
        </w:rPr>
      </w:pPr>
      <w:r w:rsidRPr="00FF4B3E">
        <w:rPr>
          <w:rFonts w:ascii="Verdana" w:hAnsi="Verdana" w:cs="Times New Roman"/>
          <w:sz w:val="28"/>
          <w:szCs w:val="28"/>
        </w:rPr>
        <w:t xml:space="preserve">struktura </w:t>
      </w:r>
      <w:r w:rsidR="00FC6258" w:rsidRPr="00FF4B3E">
        <w:rPr>
          <w:rFonts w:ascii="Verdana" w:hAnsi="Verdana" w:cs="Times New Roman"/>
          <w:sz w:val="28"/>
          <w:szCs w:val="28"/>
        </w:rPr>
        <w:t>bezrobotnych absolwentów</w:t>
      </w:r>
      <w:r w:rsidR="00FC6258" w:rsidRPr="00FF4B3E">
        <w:rPr>
          <w:rFonts w:ascii="Verdana" w:hAnsi="Verdana" w:cs="Times New Roman"/>
          <w:sz w:val="28"/>
          <w:szCs w:val="28"/>
          <w:vertAlign w:val="superscript"/>
        </w:rPr>
        <w:t>1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w</w:t>
      </w:r>
      <w:r w:rsidRPr="00FF4B3E">
        <w:rPr>
          <w:rFonts w:ascii="Verdana" w:hAnsi="Verdana" w:cs="Times New Roman"/>
          <w:sz w:val="28"/>
          <w:szCs w:val="28"/>
        </w:rPr>
        <w:t>edług</w:t>
      </w:r>
      <w:r w:rsidR="00FC6258" w:rsidRPr="00FF4B3E">
        <w:rPr>
          <w:rFonts w:ascii="Verdana" w:hAnsi="Verdana" w:cs="Times New Roman"/>
          <w:sz w:val="28"/>
          <w:szCs w:val="28"/>
        </w:rPr>
        <w:t xml:space="preserve"> stażu pracy</w:t>
      </w:r>
    </w:p>
    <w:p w:rsidR="00D95E84" w:rsidRDefault="00C15538" w:rsidP="00D95E84">
      <w:pPr>
        <w:spacing w:after="0" w:line="240" w:lineRule="auto"/>
        <w:rPr>
          <w:noProof/>
          <w:lang w:eastAsia="pl-PL"/>
        </w:rPr>
      </w:pPr>
      <w:r>
        <w:rPr>
          <w:noProof/>
          <w:lang w:eastAsia="pl-PL"/>
        </w:rPr>
        <w:drawing>
          <wp:anchor distT="0" distB="0" distL="114300" distR="114300" simplePos="0" relativeHeight="251679744" behindDoc="1" locked="0" layoutInCell="1" allowOverlap="1" wp14:anchorId="55420BFE" wp14:editId="61D2F15A">
            <wp:simplePos x="0" y="0"/>
            <wp:positionH relativeFrom="column">
              <wp:posOffset>-635</wp:posOffset>
            </wp:positionH>
            <wp:positionV relativeFrom="paragraph">
              <wp:posOffset>113030</wp:posOffset>
            </wp:positionV>
            <wp:extent cx="5807710" cy="4227830"/>
            <wp:effectExtent l="0" t="0" r="0" b="0"/>
            <wp:wrapTight wrapText="bothSides">
              <wp:wrapPolygon edited="0">
                <wp:start x="6164" y="1265"/>
                <wp:lineTo x="2196" y="2433"/>
                <wp:lineTo x="2126" y="2822"/>
                <wp:lineTo x="3472" y="3017"/>
                <wp:lineTo x="2126" y="4574"/>
                <wp:lineTo x="3472" y="6132"/>
                <wp:lineTo x="2267" y="6326"/>
                <wp:lineTo x="2267" y="6813"/>
                <wp:lineTo x="3613" y="7689"/>
                <wp:lineTo x="2338" y="8467"/>
                <wp:lineTo x="2338" y="8662"/>
                <wp:lineTo x="3613" y="9246"/>
                <wp:lineTo x="2409" y="10317"/>
                <wp:lineTo x="2409" y="10803"/>
                <wp:lineTo x="3684" y="10803"/>
                <wp:lineTo x="2409" y="12360"/>
                <wp:lineTo x="3755" y="13918"/>
                <wp:lineTo x="2551" y="14015"/>
                <wp:lineTo x="2551" y="14404"/>
                <wp:lineTo x="3826" y="15475"/>
                <wp:lineTo x="2834" y="15962"/>
                <wp:lineTo x="2976" y="16837"/>
                <wp:lineTo x="6093" y="17324"/>
                <wp:lineTo x="7368" y="17811"/>
                <wp:lineTo x="14028" y="18589"/>
                <wp:lineTo x="14028" y="18881"/>
                <wp:lineTo x="17217" y="19465"/>
                <wp:lineTo x="18138" y="19465"/>
                <wp:lineTo x="19271" y="17032"/>
                <wp:lineTo x="19767" y="15475"/>
                <wp:lineTo x="19980" y="7689"/>
                <wp:lineTo x="20263" y="2336"/>
                <wp:lineTo x="14879" y="1752"/>
                <wp:lineTo x="6943" y="1265"/>
                <wp:lineTo x="6164" y="1265"/>
              </wp:wrapPolygon>
            </wp:wrapTight>
            <wp:docPr id="9" name="Wykres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p w:rsidR="00D95E84" w:rsidRDefault="00D95E84" w:rsidP="00D95E84">
      <w:pPr>
        <w:spacing w:after="0" w:line="240" w:lineRule="auto"/>
        <w:rPr>
          <w:noProof/>
          <w:lang w:eastAsia="pl-PL"/>
        </w:rPr>
      </w:pPr>
    </w:p>
    <w:sectPr w:rsidR="00D95E8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1089" w:rsidRDefault="006D1089" w:rsidP="00FC6258">
      <w:pPr>
        <w:spacing w:after="0" w:line="240" w:lineRule="auto"/>
      </w:pPr>
      <w:r>
        <w:separator/>
      </w:r>
    </w:p>
  </w:endnote>
  <w:endnote w:type="continuationSeparator" w:id="0">
    <w:p w:rsidR="006D1089" w:rsidRDefault="006D1089" w:rsidP="00FC62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1089" w:rsidRDefault="006D1089" w:rsidP="00FC6258">
      <w:pPr>
        <w:spacing w:after="0" w:line="240" w:lineRule="auto"/>
      </w:pPr>
      <w:r>
        <w:separator/>
      </w:r>
    </w:p>
  </w:footnote>
  <w:footnote w:type="continuationSeparator" w:id="0">
    <w:p w:rsidR="006D1089" w:rsidRDefault="006D1089" w:rsidP="00FC6258">
      <w:pPr>
        <w:spacing w:after="0" w:line="240" w:lineRule="auto"/>
      </w:pPr>
      <w:r>
        <w:continuationSeparator/>
      </w:r>
    </w:p>
  </w:footnote>
  <w:footnote w:id="1">
    <w:p w:rsidR="00FC6258" w:rsidRDefault="00FC625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 w:rsidRPr="00C97E55">
        <w:rPr>
          <w:rStyle w:val="Odwoanieprzypisudolnego"/>
          <w:rFonts w:ascii="Times New Roman" w:hAnsi="Times New Roman" w:cs="Times New Roman"/>
          <w:sz w:val="18"/>
          <w:szCs w:val="18"/>
        </w:rPr>
        <w:footnoteRef/>
      </w:r>
      <w:r w:rsidRPr="00C97E55">
        <w:rPr>
          <w:rFonts w:ascii="Times New Roman" w:hAnsi="Times New Roman" w:cs="Times New Roman"/>
          <w:sz w:val="18"/>
          <w:szCs w:val="18"/>
        </w:rPr>
        <w:t xml:space="preserve"> Osoby do 12 miesięcy od dnia ukończenia nauki.</w:t>
      </w:r>
    </w:p>
    <w:p w:rsidR="00C15538" w:rsidRPr="00C97E55" w:rsidRDefault="00C15538" w:rsidP="001D0C1F">
      <w:pPr>
        <w:pStyle w:val="Tekstprzypisudolnego"/>
        <w:jc w:val="both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>*Pominięto kategorie o mikronowej liczebności.</w:t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6E87"/>
    <w:rsid w:val="000149B7"/>
    <w:rsid w:val="000233FB"/>
    <w:rsid w:val="000B7433"/>
    <w:rsid w:val="000E7639"/>
    <w:rsid w:val="001531B8"/>
    <w:rsid w:val="001A031A"/>
    <w:rsid w:val="001B38A8"/>
    <w:rsid w:val="001D0C1F"/>
    <w:rsid w:val="00225D34"/>
    <w:rsid w:val="002946CA"/>
    <w:rsid w:val="003A69A6"/>
    <w:rsid w:val="003E3D2E"/>
    <w:rsid w:val="003F16EE"/>
    <w:rsid w:val="00410EA6"/>
    <w:rsid w:val="004D5E8E"/>
    <w:rsid w:val="004F1EAB"/>
    <w:rsid w:val="00544788"/>
    <w:rsid w:val="005E6013"/>
    <w:rsid w:val="00670262"/>
    <w:rsid w:val="0067080C"/>
    <w:rsid w:val="006D1089"/>
    <w:rsid w:val="00721983"/>
    <w:rsid w:val="0072500A"/>
    <w:rsid w:val="007743FC"/>
    <w:rsid w:val="00785598"/>
    <w:rsid w:val="007C6628"/>
    <w:rsid w:val="007D798F"/>
    <w:rsid w:val="0083038F"/>
    <w:rsid w:val="008F6209"/>
    <w:rsid w:val="00920ED0"/>
    <w:rsid w:val="009E37F3"/>
    <w:rsid w:val="00AB2B02"/>
    <w:rsid w:val="00AB7881"/>
    <w:rsid w:val="00B051B7"/>
    <w:rsid w:val="00B66649"/>
    <w:rsid w:val="00BE5A09"/>
    <w:rsid w:val="00C15538"/>
    <w:rsid w:val="00C36E87"/>
    <w:rsid w:val="00C976A8"/>
    <w:rsid w:val="00C97E55"/>
    <w:rsid w:val="00D34FC5"/>
    <w:rsid w:val="00D85ABE"/>
    <w:rsid w:val="00D95E84"/>
    <w:rsid w:val="00F54962"/>
    <w:rsid w:val="00F653D5"/>
    <w:rsid w:val="00FB5581"/>
    <w:rsid w:val="00FC6258"/>
    <w:rsid w:val="00FF4B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C36E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36E87"/>
    <w:rPr>
      <w:rFonts w:ascii="Tahoma" w:hAnsi="Tahoma" w:cs="Tahoma"/>
      <w:sz w:val="16"/>
      <w:szCs w:val="16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C36E87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FC6258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C6258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C625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chart" Target="charts/chart5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chart" Target="charts/chart7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chart" Target="charts/chart6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opr.%20w&#322;asne\PUBLIKACJE\000000000info%20sygnalne\XII%20'16\strukt%20XII%20'16\Stru.%20VI.%2016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opr.%20w&#322;asne\PUBLIKACJE\000000000info%20sygnalne\XII%20'16\strukt%20XII%20'16\Stru.%20VI.%2016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opr.%20w&#322;asne\PUBLIKACJE\000000000info%20sygnalne\XII%20'16\strukt%20XII%20'16\Stru.%20VI.%2016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opr.%20w&#322;asne\PUBLIKACJE\000000000info%20sygnalne\XII%20'16\strukt%20XII%20'16\Stru.%20VI.%2016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opr.%20w&#322;asne\PUBLIKACJE\000000000info%20sygnalne\XII%20'16\strukt%20XII%20'16\Stru.%20VI.%2016.xlsx" TargetMode="External"/><Relationship Id="rId1" Type="http://schemas.openxmlformats.org/officeDocument/2006/relationships/themeOverride" Target="../theme/themeOverride1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opr.%20w&#322;asne\PUBLIKACJE\000000000info%20sygnalne\XII%20'16\strukt%20XII%20'16\Stru.%20VI.%2016.xlsx" TargetMode="External"/><Relationship Id="rId1" Type="http://schemas.openxmlformats.org/officeDocument/2006/relationships/themeOverride" Target="../theme/themeOverride2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opr.%20w&#322;asne\PUBLIKACJE\000000000info%20sygnalne\XII%20'16\strukt%20XII%20'16\Stru.%20VI.%2016.xlsx" TargetMode="External"/><Relationship Id="rId1" Type="http://schemas.openxmlformats.org/officeDocument/2006/relationships/themeOverride" Target="../theme/themeOverride3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oleObject" Target="file:///C:\Users\Piotr.Kocaj\Desktop\opr.%20w&#322;asne\PUBLIKACJE\000000000info%20sygnalne\XII%20'16\strukt%20XII%20'16\Stru.%20VI.%2016.xlsx" TargetMode="External"/><Relationship Id="rId1" Type="http://schemas.openxmlformats.org/officeDocument/2006/relationships/themeOverride" Target="../theme/themeOverrid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463248327905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str.VI.16!$B$4:$B$5</c:f>
              <c:strCache>
                <c:ptCount val="1"/>
                <c:pt idx="0">
                  <c:v>czas pozostawania bez pracy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6432504458256"/>
                  <c:y val="-0.19517256066675875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do 1 miesiąca</a:t>
                    </a:r>
                  </a:p>
                  <a:p>
                    <a:r>
                      <a:rPr lang="en-US">
                        <a:latin typeface="+mj-lt"/>
                      </a:rPr>
                      <a:t>8,8%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2223774456783548"/>
                  <c:y val="-3.1752198738315605E-2"/>
                </c:manualLayout>
              </c:layout>
              <c:tx>
                <c:rich>
                  <a:bodyPr/>
                  <a:lstStyle/>
                  <a:p>
                    <a:pPr>
                      <a:defRPr>
                        <a:latin typeface="+mj-lt"/>
                      </a:defRPr>
                    </a:pPr>
                    <a:r>
                      <a:rPr lang="pl-PL">
                        <a:latin typeface="+mj-lt"/>
                      </a:rPr>
                      <a:t>od 1 do 3 miesięcy</a:t>
                    </a:r>
                  </a:p>
                  <a:p>
                    <a:pPr>
                      <a:defRPr>
                        <a:latin typeface="+mj-lt"/>
                      </a:defRPr>
                    </a:pPr>
                    <a:r>
                      <a:rPr lang="en-US">
                        <a:latin typeface="+mj-lt"/>
                      </a:rPr>
                      <a:t>17,6%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.18132295224712464"/>
                  <c:y val="8.9848102868720359E-2"/>
                </c:manualLayout>
              </c:layout>
              <c:tx>
                <c:rich>
                  <a:bodyPr/>
                  <a:lstStyle/>
                  <a:p>
                    <a:pPr>
                      <a:defRPr>
                        <a:latin typeface="+mj-lt"/>
                      </a:defRPr>
                    </a:pPr>
                    <a:r>
                      <a:rPr lang="pl-PL">
                        <a:latin typeface="+mj-lt"/>
                      </a:rPr>
                      <a:t>od 3 do 6 miesięcy</a:t>
                    </a:r>
                  </a:p>
                  <a:p>
                    <a:pPr>
                      <a:defRPr>
                        <a:latin typeface="+mj-lt"/>
                      </a:defRPr>
                    </a:pPr>
                    <a:r>
                      <a:rPr lang="en-US">
                        <a:latin typeface="+mj-lt"/>
                      </a:rPr>
                      <a:t>14,1%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6.4862398496281608E-3"/>
                  <c:y val="0.16688049684578901"/>
                </c:manualLayout>
              </c:layout>
              <c:tx>
                <c:rich>
                  <a:bodyPr/>
                  <a:lstStyle/>
                  <a:p>
                    <a:r>
                      <a:rPr lang="pl-PL"/>
                      <a:t>od 6 do 12 miesięcy</a:t>
                    </a:r>
                  </a:p>
                  <a:p>
                    <a:r>
                      <a:rPr lang="en-US"/>
                      <a:t>14,3%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8516266298121503"/>
                  <c:y val="7.6965552980466104E-2"/>
                </c:manualLayout>
              </c:layout>
              <c:tx>
                <c:rich>
                  <a:bodyPr/>
                  <a:lstStyle/>
                  <a:p>
                    <a:pPr>
                      <a:defRPr>
                        <a:latin typeface="+mj-lt"/>
                      </a:defRPr>
                    </a:pPr>
                    <a:r>
                      <a:rPr lang="pl-PL">
                        <a:latin typeface="+mj-lt"/>
                      </a:rPr>
                      <a:t>od 12 do 24 miesięcy</a:t>
                    </a:r>
                  </a:p>
                  <a:p>
                    <a:pPr>
                      <a:defRPr>
                        <a:latin typeface="+mj-lt"/>
                      </a:defRPr>
                    </a:pPr>
                    <a:r>
                      <a:rPr lang="en-US">
                        <a:latin typeface="+mj-lt"/>
                      </a:rPr>
                      <a:t>15,4%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0.22297042553849006"/>
                  <c:y val="-0.1520453446608647"/>
                </c:manualLayout>
              </c:layout>
              <c:tx>
                <c:rich>
                  <a:bodyPr/>
                  <a:lstStyle/>
                  <a:p>
                    <a:pPr>
                      <a:defRPr>
                        <a:latin typeface="+mj-lt"/>
                      </a:defRPr>
                    </a:pPr>
                    <a:r>
                      <a:rPr lang="pl-PL">
                        <a:latin typeface="+mj-lt"/>
                      </a:rPr>
                      <a:t>powyżej 24 miesiecy</a:t>
                    </a:r>
                  </a:p>
                  <a:p>
                    <a:pPr>
                      <a:defRPr>
                        <a:latin typeface="+mj-lt"/>
                      </a:defRPr>
                    </a:pPr>
                    <a:r>
                      <a:rPr lang="en-US">
                        <a:latin typeface="+mj-lt"/>
                      </a:rPr>
                      <a:t>29,8%</a:t>
                    </a:r>
                  </a:p>
                </c:rich>
              </c:tx>
              <c:spPr/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str.VI.16!$C$4:$C$9</c:f>
              <c:strCache>
                <c:ptCount val="6"/>
                <c:pt idx="0">
                  <c:v>do 1 m-ca</c:v>
                </c:pt>
                <c:pt idx="1">
                  <c:v>od 1 do 3 m-cy</c:v>
                </c:pt>
                <c:pt idx="2">
                  <c:v>od 3 do 6 m-cy</c:v>
                </c:pt>
                <c:pt idx="3">
                  <c:v>od 6 do 12 m-cy</c:v>
                </c:pt>
                <c:pt idx="4">
                  <c:v>od 12 do 24 m-cy</c:v>
                </c:pt>
                <c:pt idx="5">
                  <c:v>pow. 24 m-cy</c:v>
                </c:pt>
              </c:strCache>
            </c:strRef>
          </c:cat>
          <c:val>
            <c:numRef>
              <c:f>str.VI.16!$E$4:$E$9</c:f>
              <c:numCache>
                <c:formatCode>0.0%</c:formatCode>
                <c:ptCount val="6"/>
                <c:pt idx="0">
                  <c:v>8.7768553552669493E-2</c:v>
                </c:pt>
                <c:pt idx="1">
                  <c:v>0.17629942268539608</c:v>
                </c:pt>
                <c:pt idx="2">
                  <c:v>0.14054496267442618</c:v>
                </c:pt>
                <c:pt idx="3">
                  <c:v>0.14337110823951585</c:v>
                </c:pt>
                <c:pt idx="4">
                  <c:v>0.15412719514349196</c:v>
                </c:pt>
                <c:pt idx="5">
                  <c:v>0.29788875770450046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22327448947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str.VI.16!$B$11</c:f>
              <c:strCache>
                <c:ptCount val="1"/>
                <c:pt idx="0">
                  <c:v>wiek w latach - ogółem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21139404057780123"/>
                  <c:y val="-0.18687927773552485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18 do 24 lat</a:t>
                    </a:r>
                  </a:p>
                  <a:p>
                    <a:r>
                      <a:rPr lang="en-US">
                        <a:latin typeface="+mj-lt"/>
                      </a:rPr>
                      <a:t>15,1%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1667897316146739"/>
                  <c:y val="9.2222064668883677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25 do 34 lat</a:t>
                    </a:r>
                  </a:p>
                  <a:p>
                    <a:r>
                      <a:rPr lang="en-US">
                        <a:latin typeface="+mj-lt"/>
                      </a:rPr>
                      <a:t>30,6%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0.17053137453423975"/>
                  <c:y val="0.15151461553704421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35 do 44 lat</a:t>
                    </a:r>
                  </a:p>
                  <a:p>
                    <a:r>
                      <a:rPr lang="en-US">
                        <a:latin typeface="+mj-lt"/>
                      </a:rPr>
                      <a:t>22,1%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1062559995207913"/>
                  <c:y val="-6.0667961535267684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45 do 54 lat</a:t>
                    </a:r>
                  </a:p>
                  <a:p>
                    <a:r>
                      <a:rPr lang="en-US">
                        <a:latin typeface="+mj-lt"/>
                      </a:rPr>
                      <a:t>17,9%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4138405650513283"/>
                  <c:y val="-0.19426056837316918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55 do 59 lat</a:t>
                    </a:r>
                  </a:p>
                  <a:p>
                    <a:r>
                      <a:rPr lang="en-US">
                        <a:latin typeface="+mj-lt"/>
                      </a:rPr>
                      <a:t>9,5%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8.3545287817205962E-3"/>
                  <c:y val="-0.14292819175167301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60 lat</a:t>
                    </a:r>
                  </a:p>
                  <a:p>
                    <a:r>
                      <a:rPr lang="pl-PL">
                        <a:latin typeface="+mj-lt"/>
                      </a:rPr>
                      <a:t>i więcej</a:t>
                    </a:r>
                  </a:p>
                  <a:p>
                    <a:r>
                      <a:rPr lang="en-US">
                        <a:latin typeface="+mj-lt"/>
                      </a:rPr>
                      <a:t>4,7%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>
                    <a:latin typeface="+mj-lt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str.VI.16!$C$11:$C$16</c:f>
              <c:strCache>
                <c:ptCount val="6"/>
                <c:pt idx="0">
                  <c:v>18-24 lat</c:v>
                </c:pt>
                <c:pt idx="1">
                  <c:v>25-34 lat</c:v>
                </c:pt>
                <c:pt idx="2">
                  <c:v>35-44 lat</c:v>
                </c:pt>
                <c:pt idx="3">
                  <c:v>45-54 lat</c:v>
                </c:pt>
                <c:pt idx="4">
                  <c:v>55-59 lat</c:v>
                </c:pt>
                <c:pt idx="5">
                  <c:v>60 lat i więcej</c:v>
                </c:pt>
              </c:strCache>
            </c:strRef>
          </c:cat>
          <c:val>
            <c:numRef>
              <c:f>str.VI.16!$E$11:$E$16</c:f>
              <c:numCache>
                <c:formatCode>0.0%</c:formatCode>
                <c:ptCount val="6"/>
                <c:pt idx="0">
                  <c:v>0.15133823570425875</c:v>
                </c:pt>
                <c:pt idx="1">
                  <c:v>0.30620915336487958</c:v>
                </c:pt>
                <c:pt idx="2">
                  <c:v>0.22108081474801752</c:v>
                </c:pt>
                <c:pt idx="3">
                  <c:v>0.17921853356512685</c:v>
                </c:pt>
                <c:pt idx="4">
                  <c:v>9.4954772374427107E-2</c:v>
                </c:pt>
                <c:pt idx="5">
                  <c:v>4.7198490243290231E-2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463248327905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str.VI.16!$B$11</c:f>
              <c:strCache>
                <c:ptCount val="1"/>
                <c:pt idx="0">
                  <c:v>wiek w latach - ogółem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8270826734935469"/>
                  <c:y val="-0.14923149776180891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wyższe</a:t>
                    </a:r>
                  </a:p>
                  <a:p>
                    <a:r>
                      <a:rPr lang="en-US">
                        <a:latin typeface="+mj-lt"/>
                      </a:rPr>
                      <a:t>15,0%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15963771192761655"/>
                  <c:y val="6.0605553856738784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policealne i średnie zawodowe</a:t>
                    </a:r>
                  </a:p>
                  <a:p>
                    <a:r>
                      <a:rPr lang="en-US">
                        <a:latin typeface="+mj-lt"/>
                      </a:rPr>
                      <a:t>25,4%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6.1051790378865892E-2"/>
                  <c:y val="0.1314724919093851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średnie ogólnokształcące</a:t>
                    </a:r>
                  </a:p>
                  <a:p>
                    <a:r>
                      <a:rPr lang="en-US">
                        <a:latin typeface="+mj-lt"/>
                      </a:rPr>
                      <a:t>10,4%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20988206405020904"/>
                  <c:y val="7.857319564423379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zasadniecze-zawodowe</a:t>
                    </a:r>
                  </a:p>
                  <a:p>
                    <a:r>
                      <a:rPr lang="en-US">
                        <a:latin typeface="+mj-lt"/>
                      </a:rPr>
                      <a:t>29,2%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0.19197819111162728"/>
                  <c:y val="-0.2144461538788234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gimnazjalne</a:t>
                    </a:r>
                  </a:p>
                  <a:p>
                    <a:r>
                      <a:rPr lang="pl-PL">
                        <a:latin typeface="+mj-lt"/>
                      </a:rPr>
                      <a:t>i poniżej</a:t>
                    </a:r>
                  </a:p>
                  <a:p>
                    <a:r>
                      <a:rPr lang="en-US">
                        <a:latin typeface="+mj-lt"/>
                      </a:rPr>
                      <a:t>20,1%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>
                    <a:latin typeface="+mj-lt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str.VI.16!$C$18:$C$22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ogółnokształcące</c:v>
                </c:pt>
                <c:pt idx="3">
                  <c:v>zasadnicze zawodowe</c:v>
                </c:pt>
                <c:pt idx="4">
                  <c:v>gimnazjalne i poniżej</c:v>
                </c:pt>
              </c:strCache>
            </c:strRef>
          </c:cat>
          <c:val>
            <c:numRef>
              <c:f>str.VI.16!$E$18:$E$22</c:f>
              <c:numCache>
                <c:formatCode>0.0%</c:formatCode>
                <c:ptCount val="5"/>
                <c:pt idx="0">
                  <c:v>0.1496648600407188</c:v>
                </c:pt>
                <c:pt idx="1">
                  <c:v>0.25405561185121833</c:v>
                </c:pt>
                <c:pt idx="2">
                  <c:v>0.10408396627218384</c:v>
                </c:pt>
                <c:pt idx="3">
                  <c:v>0.29150204058865636</c:v>
                </c:pt>
                <c:pt idx="4">
                  <c:v>0.20069352124722267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hPercent val="5"/>
      <c:rotY val="190"/>
      <c:depthPercent val="4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5.2194632483279057E-4"/>
          <c:y val="0"/>
          <c:w val="0.99947802389175422"/>
          <c:h val="1"/>
        </c:manualLayout>
      </c:layout>
      <c:pie3DChart>
        <c:varyColors val="1"/>
        <c:ser>
          <c:idx val="0"/>
          <c:order val="0"/>
          <c:tx>
            <c:strRef>
              <c:f>str.VI.16!$B$24</c:f>
              <c:strCache>
                <c:ptCount val="1"/>
                <c:pt idx="0">
                  <c:v>staż pracy</c:v>
                </c:pt>
              </c:strCache>
            </c:strRef>
          </c:tx>
          <c:spPr>
            <a:effectLst>
              <a:outerShdw blurRad="76200" dist="12700" dir="8100000" sy="-23000" kx="800400" algn="br" rotWithShape="0">
                <a:prstClr val="black">
                  <a:alpha val="20000"/>
                </a:prstClr>
              </a:outerShdw>
            </a:effectLst>
            <a:scene3d>
              <a:camera prst="orthographicFront"/>
              <a:lightRig rig="threePt" dir="t"/>
            </a:scene3d>
            <a:sp3d prstMaterial="metal">
              <a:bevelT prst="angle"/>
              <a:bevelB prst="angle"/>
            </a:sp3d>
          </c:spPr>
          <c:explosion val="6"/>
          <c:dPt>
            <c:idx val="0"/>
            <c:bubble3D val="0"/>
            <c:spPr>
              <a:gradFill flip="none" rotWithShape="1">
                <a:gsLst>
                  <a:gs pos="0">
                    <a:schemeClr val="accent1">
                      <a:lumMod val="31000"/>
                      <a:lumOff val="69000"/>
                    </a:schemeClr>
                  </a:gs>
                  <a:gs pos="99000">
                    <a:schemeClr val="accent1">
                      <a:lumMod val="45000"/>
                      <a:lumOff val="55000"/>
                    </a:schemeClr>
                  </a:gs>
                  <a:gs pos="55000">
                    <a:schemeClr val="accent1">
                      <a:lumMod val="32000"/>
                      <a:lumOff val="68000"/>
                    </a:schemeClr>
                  </a:gs>
                </a:gsLst>
                <a:lin ang="10800000" scaled="1"/>
                <a:tileRect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1"/>
            <c:bubble3D val="0"/>
            <c:spPr>
              <a:gradFill>
                <a:gsLst>
                  <a:gs pos="100000">
                    <a:schemeClr val="tx2">
                      <a:lumMod val="48000"/>
                      <a:lumOff val="52000"/>
                    </a:schemeClr>
                  </a:gs>
                  <a:gs pos="0">
                    <a:schemeClr val="bg1">
                      <a:alpha val="91000"/>
                      <a:lumMod val="71000"/>
                    </a:schemeClr>
                  </a:gs>
                  <a:gs pos="52000">
                    <a:schemeClr val="accent1">
                      <a:lumMod val="67000"/>
                      <a:lumOff val="33000"/>
                      <a:alpha val="95000"/>
                    </a:schemeClr>
                  </a:gs>
                </a:gsLst>
                <a:lin ang="5400000" scaled="1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2"/>
            <c:bubble3D val="0"/>
            <c:spPr>
              <a:gradFill flip="none" rotWithShape="1">
                <a:gsLst>
                  <a:gs pos="100000">
                    <a:srgbClr val="356DEB">
                      <a:alpha val="94000"/>
                      <a:lumMod val="82000"/>
                    </a:srgbClr>
                  </a:gs>
                  <a:gs pos="57000">
                    <a:srgbClr val="224480">
                      <a:alpha val="65490"/>
                    </a:srgbClr>
                  </a:gs>
                </a:gsLst>
                <a:lin ang="5400000" scaled="1"/>
                <a:tileRect/>
              </a:gradFill>
              <a:ln w="57150">
                <a:solidFill>
                  <a:srgbClr val="FFFFFF"/>
                </a:solidFill>
              </a:ln>
              <a:effectLst>
                <a:outerShdw blurRad="88900" dist="241300" dir="1680000" sx="148000" sy="148000" kx="800400" algn="br" rotWithShape="0">
                  <a:srgbClr val="505CCC">
                    <a:alpha val="31765"/>
                  </a:srgb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3"/>
            <c:bubble3D val="0"/>
            <c:spPr>
              <a:solidFill>
                <a:srgbClr val="4A7DBA"/>
              </a:soli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4"/>
            <c:bubble3D val="0"/>
            <c:spPr>
              <a:gradFill>
                <a:gsLst>
                  <a:gs pos="100000">
                    <a:schemeClr val="accent5">
                      <a:lumMod val="40000"/>
                      <a:lumOff val="60000"/>
                    </a:schemeClr>
                  </a:gs>
                  <a:gs pos="0">
                    <a:schemeClr val="accent5">
                      <a:lumMod val="20000"/>
                      <a:lumOff val="80000"/>
                    </a:schemeClr>
                  </a:gs>
                  <a:gs pos="52000">
                    <a:schemeClr val="accent5">
                      <a:lumMod val="60000"/>
                      <a:lumOff val="40000"/>
                    </a:schemeClr>
                  </a:gs>
                </a:gsLst>
                <a:lin ang="5400000" scaled="1"/>
              </a:gradFill>
              <a:ln>
                <a:solidFill>
                  <a:schemeClr val="accent1"/>
                </a:solidFill>
              </a:ln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Pt>
            <c:idx val="5"/>
            <c:bubble3D val="0"/>
            <c:spPr>
              <a:gradFill>
                <a:gsLst>
                  <a:gs pos="0">
                    <a:srgbClr val="5E9EFF"/>
                  </a:gs>
                  <a:gs pos="39999">
                    <a:srgbClr val="85C2FF">
                      <a:lumMod val="80000"/>
                    </a:srgbClr>
                  </a:gs>
                </a:gsLst>
                <a:lin ang="5400000" scaled="0"/>
              </a:gradFill>
              <a:effectLst>
                <a:outerShdw blurRad="76200" dist="12700" dir="8100000" sy="-23000" kx="800400" algn="br" rotWithShape="0">
                  <a:prstClr val="black">
                    <a:alpha val="20000"/>
                  </a:prstClr>
                </a:outerShdw>
              </a:effectLst>
              <a:scene3d>
                <a:camera prst="orthographicFront"/>
                <a:lightRig rig="threePt" dir="t"/>
              </a:scene3d>
              <a:sp3d prstMaterial="metal">
                <a:bevelT prst="angle"/>
                <a:bevelB prst="angle"/>
              </a:sp3d>
            </c:spPr>
          </c:dPt>
          <c:dLbls>
            <c:dLbl>
              <c:idx val="0"/>
              <c:layout>
                <c:manualLayout>
                  <c:x val="0.18622304800409556"/>
                  <c:y val="-0.10468406738521707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do 1 roku</a:t>
                    </a:r>
                  </a:p>
                  <a:p>
                    <a:r>
                      <a:rPr lang="en-US">
                        <a:latin typeface="+mj-lt"/>
                      </a:rPr>
                      <a:t>19,8%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1152393335347222"/>
                  <c:y val="6.3665567014287328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1 do 5 lat</a:t>
                    </a:r>
                  </a:p>
                  <a:p>
                    <a:r>
                      <a:rPr lang="en-US">
                        <a:latin typeface="+mj-lt"/>
                      </a:rPr>
                      <a:t>23,0%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9.3176611856053151E-2"/>
                  <c:y val="0.1372315347456349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5 do 10 lat</a:t>
                    </a:r>
                  </a:p>
                  <a:p>
                    <a:r>
                      <a:rPr lang="en-US">
                        <a:latin typeface="+mj-lt"/>
                      </a:rPr>
                      <a:t>14,4%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0.14386923077319391"/>
                  <c:y val="4.911707427371062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od 10 do 20 lat</a:t>
                    </a:r>
                  </a:p>
                  <a:p>
                    <a:r>
                      <a:rPr lang="en-US">
                        <a:latin typeface="+mj-lt"/>
                      </a:rPr>
                      <a:t>14,3%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-7.7118459379082488E-2"/>
                  <c:y val="-2.2265901921611358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20 do 30 lat</a:t>
                    </a:r>
                  </a:p>
                  <a:p>
                    <a:r>
                      <a:rPr lang="en-US">
                        <a:latin typeface="+mj-lt"/>
                      </a:rPr>
                      <a:t>8,4%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4.2530361594800118E-4"/>
                  <c:y val="7.0829581488194127E-2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30 lat i wiecej</a:t>
                    </a:r>
                  </a:p>
                  <a:p>
                    <a:r>
                      <a:rPr lang="en-US">
                        <a:latin typeface="+mj-lt"/>
                      </a:rPr>
                      <a:t>2,8%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-0.12966342023105665"/>
                  <c:y val="-0.14249466663498137"/>
                </c:manualLayout>
              </c:layout>
              <c:tx>
                <c:rich>
                  <a:bodyPr/>
                  <a:lstStyle/>
                  <a:p>
                    <a:r>
                      <a:rPr lang="pl-PL">
                        <a:latin typeface="+mj-lt"/>
                      </a:rPr>
                      <a:t>bez stażu pracy</a:t>
                    </a:r>
                  </a:p>
                  <a:p>
                    <a:r>
                      <a:rPr lang="en-US">
                        <a:latin typeface="+mj-lt"/>
                      </a:rPr>
                      <a:t>17,3%</a:t>
                    </a:r>
                    <a:endParaRPr lang="en-US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>
                    <a:latin typeface="+mj-lt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str.VI.16!$C$24:$C$30</c:f>
              <c:strCache>
                <c:ptCount val="7"/>
                <c:pt idx="0">
                  <c:v>do 1 roku</c:v>
                </c:pt>
                <c:pt idx="1">
                  <c:v>od 1-5 lat</c:v>
                </c:pt>
                <c:pt idx="2">
                  <c:v>od 5-10 lat</c:v>
                </c:pt>
                <c:pt idx="3">
                  <c:v>od 10-20 lat</c:v>
                </c:pt>
                <c:pt idx="4">
                  <c:v>od 20-30 lat</c:v>
                </c:pt>
                <c:pt idx="5">
                  <c:v>30 lat i więcej</c:v>
                </c:pt>
                <c:pt idx="6">
                  <c:v>bez stażu pracy</c:v>
                </c:pt>
              </c:strCache>
            </c:strRef>
          </c:cat>
          <c:val>
            <c:numRef>
              <c:f>str.VI.16!$E$24:$E$30</c:f>
              <c:numCache>
                <c:formatCode>0.0%</c:formatCode>
                <c:ptCount val="7"/>
                <c:pt idx="0">
                  <c:v>0.19779300343042011</c:v>
                </c:pt>
                <c:pt idx="1">
                  <c:v>0.23025649130309481</c:v>
                </c:pt>
                <c:pt idx="2">
                  <c:v>0.14443091282642445</c:v>
                </c:pt>
                <c:pt idx="3">
                  <c:v>0.14286909554045385</c:v>
                </c:pt>
                <c:pt idx="4">
                  <c:v>8.3994161778240539E-2</c:v>
                </c:pt>
                <c:pt idx="5">
                  <c:v>2.7712960294514116E-2</c:v>
                </c:pt>
                <c:pt idx="6">
                  <c:v>0.1729433748268521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0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str.VI.16!$D$57</c:f>
              <c:strCache>
                <c:ptCount val="1"/>
                <c:pt idx="0">
                  <c:v>ogółem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2.3159542426735999E-2"/>
                  <c:y val="-3.83360644075302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3.021461076266789E-2"/>
                  <c:y val="-1.668951471257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3.1749718975870721E-2"/>
                  <c:y val="-2.420438707844721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0657260950507406E-2"/>
                  <c:y val="-4.198237182698084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str.VI.16!$C$4:$C$7</c:f>
              <c:strCache>
                <c:ptCount val="4"/>
                <c:pt idx="0">
                  <c:v>do 1 m-ca</c:v>
                </c:pt>
                <c:pt idx="1">
                  <c:v>od 1 do 3 m-cy</c:v>
                </c:pt>
                <c:pt idx="2">
                  <c:v>od 3 do 6 m-cy</c:v>
                </c:pt>
                <c:pt idx="3">
                  <c:v>od 6 do 12 m-cy</c:v>
                </c:pt>
              </c:strCache>
            </c:strRef>
          </c:cat>
          <c:val>
            <c:numRef>
              <c:f>str.VI.16!$E$58:$E$61</c:f>
              <c:numCache>
                <c:formatCode>0.0%</c:formatCode>
                <c:ptCount val="4"/>
                <c:pt idx="0">
                  <c:v>0.15248292412774597</c:v>
                </c:pt>
                <c:pt idx="1">
                  <c:v>0.39062211556211923</c:v>
                </c:pt>
                <c:pt idx="2">
                  <c:v>0.36182388776075319</c:v>
                </c:pt>
                <c:pt idx="3">
                  <c:v>9.5071072549381574E-2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198823296"/>
        <c:axId val="198880640"/>
        <c:axId val="0"/>
      </c:bar3DChart>
      <c:catAx>
        <c:axId val="19882329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7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98880640"/>
        <c:crosses val="autoZero"/>
        <c:auto val="1"/>
        <c:lblAlgn val="ctr"/>
        <c:lblOffset val="100"/>
        <c:noMultiLvlLbl val="0"/>
      </c:catAx>
      <c:valAx>
        <c:axId val="198880640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19882329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str.VI.16!$B$65</c:f>
              <c:strCache>
                <c:ptCount val="1"/>
                <c:pt idx="0">
                  <c:v>wiek w latach - ogółem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650689678464656E-2"/>
                  <c:y val="-3.27952769568780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3.0646588661172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str.VI.16!$C$65:$C$68</c:f>
              <c:strCache>
                <c:ptCount val="4"/>
                <c:pt idx="0">
                  <c:v>18-24 lat</c:v>
                </c:pt>
                <c:pt idx="1">
                  <c:v>25-34 lat</c:v>
                </c:pt>
                <c:pt idx="2">
                  <c:v>35-44 lat</c:v>
                </c:pt>
                <c:pt idx="3">
                  <c:v>45-54 lat</c:v>
                </c:pt>
              </c:strCache>
            </c:strRef>
          </c:cat>
          <c:val>
            <c:numRef>
              <c:f>str.VI.16!$E$65:$E$68</c:f>
              <c:numCache>
                <c:formatCode>0.0%</c:formatCode>
                <c:ptCount val="4"/>
                <c:pt idx="0">
                  <c:v>0.8320103378253646</c:v>
                </c:pt>
                <c:pt idx="1">
                  <c:v>0.14399113900683036</c:v>
                </c:pt>
                <c:pt idx="2">
                  <c:v>1.7906590363669928E-2</c:v>
                </c:pt>
                <c:pt idx="3">
                  <c:v>5.168912682296474E-3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200282496"/>
        <c:axId val="200758400"/>
        <c:axId val="0"/>
      </c:bar3DChart>
      <c:catAx>
        <c:axId val="20028249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200758400"/>
        <c:crosses val="autoZero"/>
        <c:auto val="1"/>
        <c:lblAlgn val="ctr"/>
        <c:lblOffset val="100"/>
        <c:noMultiLvlLbl val="0"/>
      </c:catAx>
      <c:valAx>
        <c:axId val="200758400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20028249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9.1985935366648675E-2"/>
          <c:y val="4.6649682178777629E-2"/>
          <c:w val="0.8901886706250538"/>
          <c:h val="0.86751481666019792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str.VI.16!$B$72</c:f>
              <c:strCache>
                <c:ptCount val="1"/>
                <c:pt idx="0">
                  <c:v>wykształcenie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650689678464656E-2"/>
                  <c:y val="-3.27952769568780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3.0646588661172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str.VI.16!$C$18:$C$22</c:f>
              <c:strCache>
                <c:ptCount val="5"/>
                <c:pt idx="0">
                  <c:v>wyższe</c:v>
                </c:pt>
                <c:pt idx="1">
                  <c:v>policealne i średnie zawodowe</c:v>
                </c:pt>
                <c:pt idx="2">
                  <c:v>średnie ogółnokształcące</c:v>
                </c:pt>
                <c:pt idx="3">
                  <c:v>zasadnicze zawodowe</c:v>
                </c:pt>
                <c:pt idx="4">
                  <c:v>gimnazjalne i poniżej</c:v>
                </c:pt>
              </c:strCache>
            </c:strRef>
          </c:cat>
          <c:val>
            <c:numRef>
              <c:f>str.VI.16!$E$72:$E$76</c:f>
              <c:numCache>
                <c:formatCode>0.0%</c:formatCode>
                <c:ptCount val="5"/>
                <c:pt idx="0">
                  <c:v>0.34280967325087686</c:v>
                </c:pt>
                <c:pt idx="1">
                  <c:v>0.33284105593501939</c:v>
                </c:pt>
                <c:pt idx="2">
                  <c:v>0.15414436034705556</c:v>
                </c:pt>
                <c:pt idx="3">
                  <c:v>0.1679896621746354</c:v>
                </c:pt>
                <c:pt idx="4">
                  <c:v>2.2152482924127745E-3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204023296"/>
        <c:axId val="204025216"/>
        <c:axId val="0"/>
      </c:bar3DChart>
      <c:catAx>
        <c:axId val="204023296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6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204025216"/>
        <c:crosses val="autoZero"/>
        <c:auto val="1"/>
        <c:lblAlgn val="ctr"/>
        <c:lblOffset val="100"/>
        <c:noMultiLvlLbl val="0"/>
      </c:catAx>
      <c:valAx>
        <c:axId val="204025216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204023296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1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  <c:spPr>
        <a:noFill/>
        <a:ln>
          <a:solidFill>
            <a:schemeClr val="bg1">
              <a:lumMod val="85000"/>
            </a:schemeClr>
          </a:solidFill>
        </a:ln>
      </c:spPr>
    </c:sideWall>
    <c:backWall>
      <c:thickness val="0"/>
      <c:spPr>
        <a:noFill/>
        <a:ln>
          <a:solidFill>
            <a:schemeClr val="bg1">
              <a:lumMod val="85000"/>
            </a:schemeClr>
          </a:solidFill>
        </a:ln>
      </c:spPr>
    </c:backWall>
    <c:plotArea>
      <c:layout>
        <c:manualLayout>
          <c:layoutTarget val="inner"/>
          <c:xMode val="edge"/>
          <c:yMode val="edge"/>
          <c:x val="0.10983910949935706"/>
          <c:y val="6.0294458554645387E-2"/>
          <c:w val="0.87233542718963464"/>
          <c:h val="0.81634645669291361"/>
        </c:manualLayout>
      </c:layout>
      <c:bar3DChart>
        <c:barDir val="col"/>
        <c:grouping val="clustered"/>
        <c:varyColors val="0"/>
        <c:ser>
          <c:idx val="0"/>
          <c:order val="0"/>
          <c:tx>
            <c:strRef>
              <c:f>str.VI.16!$B$78</c:f>
              <c:strCache>
                <c:ptCount val="1"/>
                <c:pt idx="0">
                  <c:v>staż pracy</c:v>
                </c:pt>
              </c:strCache>
            </c:strRef>
          </c:tx>
          <c:spPr>
            <a:gradFill>
              <a:gsLst>
                <a:gs pos="0">
                  <a:srgbClr val="00B050"/>
                </a:gs>
                <a:gs pos="100000">
                  <a:srgbClr val="8064A2">
                    <a:lumMod val="50000"/>
                  </a:srgbClr>
                </a:gs>
              </a:gsLst>
              <a:lin ang="5400000" scaled="0"/>
            </a:gradFill>
            <a:ln w="9525">
              <a:solidFill>
                <a:sysClr val="window" lastClr="FFFFFF"/>
              </a:solidFill>
            </a:ln>
            <a:effectLst>
              <a:outerShdw blurRad="12700" dist="139700" dir="1560000" sx="107000" sy="107000" algn="ctr" rotWithShape="0">
                <a:srgbClr val="C0504D">
                  <a:lumMod val="75000"/>
                  <a:alpha val="66000"/>
                </a:srgbClr>
              </a:outerShdw>
            </a:effectLst>
          </c:spPr>
          <c:invertIfNegative val="0"/>
          <c:dLbls>
            <c:dLbl>
              <c:idx val="0"/>
              <c:layout>
                <c:manualLayout>
                  <c:x val="1.4117321218919945E-2"/>
                  <c:y val="-1.90100989639974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1"/>
              <c:layout>
                <c:manualLayout>
                  <c:x val="1.6650689678464656E-2"/>
                  <c:y val="-3.27952769568780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2.270706315506037E-2"/>
                  <c:y val="-3.064658866117264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3"/>
              <c:layout>
                <c:manualLayout>
                  <c:x val="2.74388579476109E-2"/>
                  <c:y val="-4.842440648283852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4"/>
              <c:layout>
                <c:manualLayout>
                  <c:x val="3.303951713717046E-2"/>
                  <c:y val="-3.383207995963576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5"/>
              <c:layout>
                <c:manualLayout>
                  <c:x val="2.2722099413262073E-2"/>
                  <c:y val="-4.480510639661068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2.1982667878021292E-2"/>
                  <c:y val="-1.142572677818495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pPr>
              <a:solidFill>
                <a:sysClr val="window" lastClr="FFFFFF">
                  <a:alpha val="88000"/>
                </a:sysClr>
              </a:solidFill>
              <a:ln>
                <a:noFill/>
              </a:ln>
              <a:effectLst/>
            </c:spPr>
            <c:txPr>
              <a:bodyPr/>
              <a:lstStyle/>
              <a:p>
                <a:pPr>
                  <a:defRPr sz="900" b="0">
                    <a:solidFill>
                      <a:schemeClr val="tx1"/>
                    </a:solidFill>
                    <a:latin typeface="+mj-lt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str.VI.16!$C$78:$C$84</c:f>
              <c:strCache>
                <c:ptCount val="7"/>
                <c:pt idx="0">
                  <c:v>do 1 roku</c:v>
                </c:pt>
                <c:pt idx="1">
                  <c:v>od 1-5 lat</c:v>
                </c:pt>
                <c:pt idx="2">
                  <c:v>od 5-10 lat</c:v>
                </c:pt>
                <c:pt idx="3">
                  <c:v>od 10-20 lat</c:v>
                </c:pt>
                <c:pt idx="4">
                  <c:v>od 20-30 lat</c:v>
                </c:pt>
                <c:pt idx="5">
                  <c:v>30 lat i więcej</c:v>
                </c:pt>
                <c:pt idx="6">
                  <c:v>bez stażu pracy</c:v>
                </c:pt>
              </c:strCache>
            </c:strRef>
          </c:cat>
          <c:val>
            <c:numRef>
              <c:f>str.VI.16!$E$78:$E$84</c:f>
              <c:numCache>
                <c:formatCode>0.0%</c:formatCode>
                <c:ptCount val="7"/>
                <c:pt idx="0">
                  <c:v>0.23093963448403176</c:v>
                </c:pt>
                <c:pt idx="1">
                  <c:v>0.10910097840132915</c:v>
                </c:pt>
                <c:pt idx="2">
                  <c:v>1.0337825364592948E-2</c:v>
                </c:pt>
                <c:pt idx="3">
                  <c:v>6.645744877238324E-3</c:v>
                </c:pt>
                <c:pt idx="4">
                  <c:v>2.2152482924127745E-3</c:v>
                </c:pt>
                <c:pt idx="5">
                  <c:v>3.6920804873546244E-4</c:v>
                </c:pt>
                <c:pt idx="6">
                  <c:v>0.64039136053165957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0"/>
        <c:gapDepth val="274"/>
        <c:shape val="cylinder"/>
        <c:axId val="45464960"/>
        <c:axId val="45466752"/>
        <c:axId val="0"/>
      </c:bar3DChart>
      <c:catAx>
        <c:axId val="45464960"/>
        <c:scaling>
          <c:orientation val="minMax"/>
        </c:scaling>
        <c:delete val="0"/>
        <c:axPos val="b"/>
        <c:majorGridlines/>
        <c:minorGridlines>
          <c:spPr>
            <a:ln>
              <a:solidFill>
                <a:schemeClr val="bg2">
                  <a:lumMod val="50000"/>
                </a:schemeClr>
              </a:solidFill>
            </a:ln>
          </c:spPr>
        </c:minorGridlines>
        <c:numFmt formatCode="General" sourceLinked="1"/>
        <c:majorTickMark val="out"/>
        <c:minorTickMark val="none"/>
        <c:tickLblPos val="nextTo"/>
        <c:spPr>
          <a:ln>
            <a:solidFill>
              <a:schemeClr val="bg1">
                <a:lumMod val="75000"/>
              </a:schemeClr>
            </a:solidFill>
          </a:ln>
        </c:spPr>
        <c:txPr>
          <a:bodyPr/>
          <a:lstStyle/>
          <a:p>
            <a:pPr>
              <a:defRPr sz="600">
                <a:solidFill>
                  <a:schemeClr val="tx1"/>
                </a:solidFill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45466752"/>
        <c:crosses val="autoZero"/>
        <c:auto val="1"/>
        <c:lblAlgn val="ctr"/>
        <c:lblOffset val="100"/>
        <c:noMultiLvlLbl val="0"/>
      </c:catAx>
      <c:valAx>
        <c:axId val="45466752"/>
        <c:scaling>
          <c:orientation val="minMax"/>
        </c:scaling>
        <c:delete val="0"/>
        <c:axPos val="l"/>
        <c:majorGridlines>
          <c:spPr>
            <a:ln>
              <a:solidFill>
                <a:schemeClr val="bg2">
                  <a:lumMod val="50000"/>
                </a:schemeClr>
              </a:solidFill>
            </a:ln>
          </c:spPr>
        </c:majorGridlines>
        <c:minorGridlines/>
        <c:numFmt formatCode="0.0%" sourceLinked="1"/>
        <c:majorTickMark val="out"/>
        <c:minorTickMark val="none"/>
        <c:tickLblPos val="nextTo"/>
        <c:spPr>
          <a:ln>
            <a:solidFill>
              <a:sysClr val="window" lastClr="FFFFFF">
                <a:lumMod val="85000"/>
                <a:alpha val="83000"/>
              </a:sysClr>
            </a:solidFill>
          </a:ln>
        </c:spPr>
        <c:txPr>
          <a:bodyPr/>
          <a:lstStyle/>
          <a:p>
            <a:pPr>
              <a:defRPr sz="800">
                <a:solidFill>
                  <a:schemeClr val="tx1"/>
                </a:solidFill>
                <a:latin typeface="+mj-lt"/>
                <a:cs typeface="Arial" pitchFamily="34" charset="0"/>
              </a:defRPr>
            </a:pPr>
            <a:endParaRPr lang="pl-PL"/>
          </a:p>
        </c:txPr>
        <c:crossAx val="45464960"/>
        <c:crosses val="autoZero"/>
        <c:crossBetween val="between"/>
      </c:valAx>
      <c:spPr>
        <a:noFill/>
        <a:ln>
          <a:noFill/>
        </a:ln>
      </c:spPr>
    </c:plotArea>
    <c:plotVisOnly val="1"/>
    <c:dispBlanksAs val="gap"/>
    <c:showDLblsOverMax val="0"/>
  </c:chart>
  <c:spPr>
    <a:noFill/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Pakiet 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Pakiet 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Pakiet 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90589F-6C0D-48B9-8143-E4A5711A4F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4</Pages>
  <Words>92</Words>
  <Characters>553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30</cp:revision>
  <cp:lastPrinted>2017-01-31T10:44:00Z</cp:lastPrinted>
  <dcterms:created xsi:type="dcterms:W3CDTF">2016-04-27T10:37:00Z</dcterms:created>
  <dcterms:modified xsi:type="dcterms:W3CDTF">2017-01-31T10:45:00Z</dcterms:modified>
</cp:coreProperties>
</file>